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הגירה: גורמים וסוגים</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מה דוחף אנשים לארוז מזוודה, ומה מושך אותם למקום חדש?</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הגירה</w:t>
            </w:r>
          </w:p>
        </w:tc>
        <w:tc>
          <w:tcPr>
            <w:tcW w:type="dxa" w:w="5102"/>
          </w:tcPr>
          <w:p>
            <w:pPr>
              <w:bidi w:val="1"/>
              <w:jc w:val="right"/>
            </w:pPr>
            <w:r/>
            <w:r>
              <w:rPr>
                <w:rFonts w:ascii="Assistant" w:hAnsi="Assistant" w:cs="Assistant"/>
                <w:b w:val="0"/>
                <w:sz w:val="21"/>
                <w:rtl w:val="1"/>
                <w:szCs w:val="21"/>
              </w:rPr>
              <w:t>מעבר של אנשים ממקום מגורים אחד למקום אחר לתקופה ארוכה.</w:t>
            </w:r>
          </w:p>
        </w:tc>
        <w:tc>
          <w:tcPr>
            <w:tcW w:type="dxa" w:w="2835"/>
          </w:tcPr>
          <w:p>
            <w:pPr>
              <w:bidi w:val="1"/>
              <w:jc w:val="right"/>
            </w:pPr>
            <w:r/>
            <w:r>
              <w:rPr>
                <w:rFonts w:ascii="Assistant" w:hAnsi="Assistant" w:cs="Assistant"/>
                <w:b w:val="0"/>
                <w:sz w:val="21"/>
                <w:rtl w:val="1"/>
                <w:szCs w:val="21"/>
              </w:rPr>
              <w:t>משפחה שעוברת מעיר בצפון לעיר במרכז.</w:t>
            </w:r>
          </w:p>
        </w:tc>
      </w:tr>
      <w:tr>
        <w:tc>
          <w:tcPr>
            <w:tcW w:type="dxa" w:w="1984"/>
          </w:tcPr>
          <w:p>
            <w:pPr>
              <w:bidi w:val="1"/>
              <w:jc w:val="right"/>
            </w:pPr>
            <w:r/>
            <w:r>
              <w:rPr>
                <w:rFonts w:ascii="Assistant" w:hAnsi="Assistant" w:cs="Assistant"/>
                <w:b w:val="0"/>
                <w:sz w:val="21"/>
                <w:rtl w:val="1"/>
                <w:szCs w:val="21"/>
              </w:rPr>
              <w:t>אזור מוצא</w:t>
            </w:r>
          </w:p>
        </w:tc>
        <w:tc>
          <w:tcPr>
            <w:tcW w:type="dxa" w:w="5102"/>
          </w:tcPr>
          <w:p>
            <w:pPr>
              <w:bidi w:val="1"/>
              <w:jc w:val="right"/>
            </w:pPr>
            <w:r/>
            <w:r>
              <w:rPr>
                <w:rFonts w:ascii="Assistant" w:hAnsi="Assistant" w:cs="Assistant"/>
                <w:b w:val="0"/>
                <w:sz w:val="21"/>
                <w:rtl w:val="1"/>
                <w:szCs w:val="21"/>
              </w:rPr>
              <w:t>המקום שממנו יוצאים המהגרים.</w:t>
            </w:r>
          </w:p>
        </w:tc>
        <w:tc>
          <w:tcPr>
            <w:tcW w:type="dxa" w:w="2835"/>
          </w:tcPr>
          <w:p>
            <w:pPr>
              <w:bidi w:val="1"/>
              <w:jc w:val="right"/>
            </w:pPr>
            <w:r/>
            <w:r>
              <w:rPr>
                <w:rFonts w:ascii="Assistant" w:hAnsi="Assistant" w:cs="Assistant"/>
                <w:b w:val="0"/>
                <w:sz w:val="21"/>
                <w:rtl w:val="1"/>
                <w:szCs w:val="21"/>
              </w:rPr>
              <w:t>הכפר שבו נולדה הסבתא לפני שעברה.</w:t>
            </w:r>
          </w:p>
        </w:tc>
      </w:tr>
      <w:tr>
        <w:tc>
          <w:tcPr>
            <w:tcW w:type="dxa" w:w="1984"/>
          </w:tcPr>
          <w:p>
            <w:pPr>
              <w:bidi w:val="1"/>
              <w:jc w:val="right"/>
            </w:pPr>
            <w:r/>
            <w:r>
              <w:rPr>
                <w:rFonts w:ascii="Assistant" w:hAnsi="Assistant" w:cs="Assistant"/>
                <w:b w:val="0"/>
                <w:sz w:val="21"/>
                <w:rtl w:val="1"/>
                <w:szCs w:val="21"/>
              </w:rPr>
              <w:t>אזור יעד</w:t>
            </w:r>
          </w:p>
        </w:tc>
        <w:tc>
          <w:tcPr>
            <w:tcW w:type="dxa" w:w="5102"/>
          </w:tcPr>
          <w:p>
            <w:pPr>
              <w:bidi w:val="1"/>
              <w:jc w:val="right"/>
            </w:pPr>
            <w:r/>
            <w:r>
              <w:rPr>
                <w:rFonts w:ascii="Assistant" w:hAnsi="Assistant" w:cs="Assistant"/>
                <w:b w:val="0"/>
                <w:sz w:val="21"/>
                <w:rtl w:val="1"/>
                <w:szCs w:val="21"/>
              </w:rPr>
              <w:t>המקום שאליו מגיעים המהגרים כדי לגור בו.</w:t>
            </w:r>
          </w:p>
        </w:tc>
        <w:tc>
          <w:tcPr>
            <w:tcW w:type="dxa" w:w="2835"/>
          </w:tcPr>
          <w:p>
            <w:pPr>
              <w:bidi w:val="1"/>
              <w:jc w:val="right"/>
            </w:pPr>
            <w:r/>
            <w:r>
              <w:rPr>
                <w:rFonts w:ascii="Assistant" w:hAnsi="Assistant" w:cs="Assistant"/>
                <w:b w:val="0"/>
                <w:sz w:val="21"/>
                <w:rtl w:val="1"/>
                <w:szCs w:val="21"/>
              </w:rPr>
              <w:t>העיר החדשה שאליה עברה המשפחה.</w:t>
            </w:r>
          </w:p>
        </w:tc>
      </w:tr>
      <w:tr>
        <w:tc>
          <w:tcPr>
            <w:tcW w:type="dxa" w:w="1984"/>
          </w:tcPr>
          <w:p>
            <w:pPr>
              <w:bidi w:val="1"/>
              <w:jc w:val="right"/>
            </w:pPr>
            <w:r/>
            <w:r>
              <w:rPr>
                <w:rFonts w:ascii="Assistant" w:hAnsi="Assistant" w:cs="Assistant"/>
                <w:b w:val="0"/>
                <w:sz w:val="21"/>
                <w:rtl w:val="1"/>
                <w:szCs w:val="21"/>
              </w:rPr>
              <w:t>גורמי דחיפה</w:t>
            </w:r>
          </w:p>
        </w:tc>
        <w:tc>
          <w:tcPr>
            <w:tcW w:type="dxa" w:w="5102"/>
          </w:tcPr>
          <w:p>
            <w:pPr>
              <w:bidi w:val="1"/>
              <w:jc w:val="right"/>
            </w:pPr>
            <w:r/>
            <w:r>
              <w:rPr>
                <w:rFonts w:ascii="Assistant" w:hAnsi="Assistant" w:cs="Assistant"/>
                <w:b w:val="0"/>
                <w:sz w:val="21"/>
                <w:rtl w:val="1"/>
                <w:szCs w:val="21"/>
              </w:rPr>
              <w:t>תנאים קשים באזור המוצא שדוחפים אנשים לעזוב, כמו אבטלה, עוני, בצורת או חוסר ביטחון.</w:t>
            </w:r>
          </w:p>
        </w:tc>
        <w:tc>
          <w:tcPr>
            <w:tcW w:type="dxa" w:w="2835"/>
          </w:tcPr>
          <w:p>
            <w:pPr>
              <w:bidi w:val="1"/>
              <w:jc w:val="right"/>
            </w:pPr>
            <w:r/>
            <w:r>
              <w:rPr>
                <w:rFonts w:ascii="Assistant" w:hAnsi="Assistant" w:cs="Assistant"/>
                <w:b w:val="0"/>
                <w:sz w:val="21"/>
                <w:rtl w:val="1"/>
                <w:szCs w:val="21"/>
              </w:rPr>
              <w:t>בצורת שמייבשת את השדות.</w:t>
            </w:r>
          </w:p>
        </w:tc>
      </w:tr>
      <w:tr>
        <w:tc>
          <w:tcPr>
            <w:tcW w:type="dxa" w:w="1984"/>
          </w:tcPr>
          <w:p>
            <w:pPr>
              <w:bidi w:val="1"/>
              <w:jc w:val="right"/>
            </w:pPr>
            <w:r/>
            <w:r>
              <w:rPr>
                <w:rFonts w:ascii="Assistant" w:hAnsi="Assistant" w:cs="Assistant"/>
                <w:b w:val="0"/>
                <w:sz w:val="21"/>
                <w:rtl w:val="1"/>
                <w:szCs w:val="21"/>
              </w:rPr>
              <w:t>גורמי משיכה</w:t>
            </w:r>
          </w:p>
        </w:tc>
        <w:tc>
          <w:tcPr>
            <w:tcW w:type="dxa" w:w="5102"/>
          </w:tcPr>
          <w:p>
            <w:pPr>
              <w:bidi w:val="1"/>
              <w:jc w:val="right"/>
            </w:pPr>
            <w:r/>
            <w:r>
              <w:rPr>
                <w:rFonts w:ascii="Assistant" w:hAnsi="Assistant" w:cs="Assistant"/>
                <w:b w:val="0"/>
                <w:sz w:val="21"/>
                <w:rtl w:val="1"/>
                <w:szCs w:val="21"/>
              </w:rPr>
              <w:t>יתרונות באזור היעד שמושכים אליו אנשים, כמו עבודה, לימודים, ביטחון וקרבה למשפחה.</w:t>
            </w:r>
          </w:p>
        </w:tc>
        <w:tc>
          <w:tcPr>
            <w:tcW w:type="dxa" w:w="2835"/>
          </w:tcPr>
          <w:p>
            <w:pPr>
              <w:bidi w:val="1"/>
              <w:jc w:val="right"/>
            </w:pPr>
            <w:r/>
            <w:r>
              <w:rPr>
                <w:rFonts w:ascii="Assistant" w:hAnsi="Assistant" w:cs="Assistant"/>
                <w:b w:val="0"/>
                <w:sz w:val="21"/>
                <w:rtl w:val="1"/>
                <w:szCs w:val="21"/>
              </w:rPr>
              <w:t>עבודה עם שכר גבוה בעיר.</w:t>
            </w:r>
          </w:p>
        </w:tc>
      </w:tr>
      <w:tr>
        <w:tc>
          <w:tcPr>
            <w:tcW w:type="dxa" w:w="1984"/>
          </w:tcPr>
          <w:p>
            <w:pPr>
              <w:bidi w:val="1"/>
              <w:jc w:val="right"/>
            </w:pPr>
            <w:r/>
            <w:r>
              <w:rPr>
                <w:rFonts w:ascii="Assistant" w:hAnsi="Assistant" w:cs="Assistant"/>
                <w:b w:val="0"/>
                <w:sz w:val="21"/>
                <w:rtl w:val="1"/>
                <w:szCs w:val="21"/>
              </w:rPr>
              <w:t>הגירה פנימית</w:t>
            </w:r>
          </w:p>
        </w:tc>
        <w:tc>
          <w:tcPr>
            <w:tcW w:type="dxa" w:w="5102"/>
          </w:tcPr>
          <w:p>
            <w:pPr>
              <w:bidi w:val="1"/>
              <w:jc w:val="right"/>
            </w:pPr>
            <w:r/>
            <w:r>
              <w:rPr>
                <w:rFonts w:ascii="Assistant" w:hAnsi="Assistant" w:cs="Assistant"/>
                <w:b w:val="0"/>
                <w:sz w:val="21"/>
                <w:rtl w:val="1"/>
                <w:szCs w:val="21"/>
              </w:rPr>
              <w:t>מעבר של אנשים ממקום למקום בתוך אותה מדינה.</w:t>
            </w:r>
          </w:p>
        </w:tc>
        <w:tc>
          <w:tcPr>
            <w:tcW w:type="dxa" w:w="2835"/>
          </w:tcPr>
          <w:p>
            <w:pPr>
              <w:bidi w:val="1"/>
              <w:jc w:val="right"/>
            </w:pPr>
            <w:r/>
            <w:r>
              <w:rPr>
                <w:rFonts w:ascii="Assistant" w:hAnsi="Assistant" w:cs="Assistant"/>
                <w:b w:val="0"/>
                <w:sz w:val="21"/>
                <w:rtl w:val="1"/>
                <w:szCs w:val="21"/>
              </w:rPr>
              <w:t>מעבר מבאר שבע לחיפה.</w:t>
            </w:r>
          </w:p>
        </w:tc>
      </w:tr>
      <w:tr>
        <w:tc>
          <w:tcPr>
            <w:tcW w:type="dxa" w:w="1984"/>
          </w:tcPr>
          <w:p>
            <w:pPr>
              <w:bidi w:val="1"/>
              <w:jc w:val="right"/>
            </w:pPr>
            <w:r/>
            <w:r>
              <w:rPr>
                <w:rFonts w:ascii="Assistant" w:hAnsi="Assistant" w:cs="Assistant"/>
                <w:b w:val="0"/>
                <w:sz w:val="21"/>
                <w:rtl w:val="1"/>
                <w:szCs w:val="21"/>
              </w:rPr>
              <w:t>הגירה כפויה</w:t>
            </w:r>
          </w:p>
        </w:tc>
        <w:tc>
          <w:tcPr>
            <w:tcW w:type="dxa" w:w="5102"/>
          </w:tcPr>
          <w:p>
            <w:pPr>
              <w:bidi w:val="1"/>
              <w:jc w:val="right"/>
            </w:pPr>
            <w:r/>
            <w:r>
              <w:rPr>
                <w:rFonts w:ascii="Assistant" w:hAnsi="Assistant" w:cs="Assistant"/>
                <w:b w:val="0"/>
                <w:sz w:val="21"/>
                <w:rtl w:val="1"/>
                <w:szCs w:val="21"/>
              </w:rPr>
              <w:t>הגירה שבה לאנשים אין ברירה אלא לעזוב, למשל אחרי אסון טבע.</w:t>
            </w:r>
          </w:p>
        </w:tc>
        <w:tc>
          <w:tcPr>
            <w:tcW w:type="dxa" w:w="2835"/>
          </w:tcPr>
          <w:p>
            <w:pPr>
              <w:bidi w:val="1"/>
              <w:jc w:val="right"/>
            </w:pPr>
            <w:r/>
            <w:r>
              <w:rPr>
                <w:rFonts w:ascii="Assistant" w:hAnsi="Assistant" w:cs="Assistant"/>
                <w:b w:val="0"/>
                <w:sz w:val="21"/>
                <w:rtl w:val="1"/>
                <w:szCs w:val="21"/>
              </w:rPr>
              <w:t>משפחות שעזבו אחרי שיטפון גדול.</w:t>
            </w:r>
          </w:p>
        </w:tc>
      </w:tr>
      <w:tr>
        <w:tc>
          <w:tcPr>
            <w:tcW w:type="dxa" w:w="1984"/>
          </w:tcPr>
          <w:p>
            <w:pPr>
              <w:bidi w:val="1"/>
              <w:jc w:val="right"/>
            </w:pPr>
            <w:r/>
            <w:r>
              <w:rPr>
                <w:rFonts w:ascii="Assistant" w:hAnsi="Assistant" w:cs="Assistant"/>
                <w:b w:val="0"/>
                <w:sz w:val="21"/>
                <w:rtl w:val="1"/>
                <w:szCs w:val="21"/>
              </w:rPr>
              <w:t>מאזן הגירה</w:t>
            </w:r>
          </w:p>
        </w:tc>
        <w:tc>
          <w:tcPr>
            <w:tcW w:type="dxa" w:w="5102"/>
          </w:tcPr>
          <w:p>
            <w:pPr>
              <w:bidi w:val="1"/>
              <w:jc w:val="right"/>
            </w:pPr>
            <w:r/>
            <w:r>
              <w:rPr>
                <w:rFonts w:ascii="Assistant" w:hAnsi="Assistant" w:cs="Assistant"/>
                <w:b w:val="0"/>
                <w:sz w:val="21"/>
                <w:rtl w:val="1"/>
                <w:szCs w:val="21"/>
              </w:rPr>
              <w:t>ההפרש בין מספר הנכנסים למדינה למספר היוצאים ממנה; חיובי כשנכנסים יותר.</w:t>
            </w:r>
          </w:p>
        </w:tc>
        <w:tc>
          <w:tcPr>
            <w:tcW w:type="dxa" w:w="2835"/>
          </w:tcPr>
          <w:p>
            <w:pPr>
              <w:bidi w:val="1"/>
              <w:jc w:val="right"/>
            </w:pPr>
            <w:r/>
            <w:r>
              <w:rPr>
                <w:rFonts w:ascii="Assistant" w:hAnsi="Assistant" w:cs="Assistant"/>
                <w:b w:val="0"/>
                <w:sz w:val="21"/>
                <w:rtl w:val="1"/>
                <w:szCs w:val="21"/>
              </w:rPr>
              <w:t>500 הגיעו ו-200 עזבו = ‎+300.</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מסע מאזור מוצא לאזור יעד</w:t>
      </w:r>
    </w:p>
    <w:p>
      <w:pPr>
        <w:bidi w:val="1"/>
        <w:spacing w:after="120"/>
        <w:jc w:val="right"/>
      </w:pPr>
      <w:r>
        <w:rPr>
          <w:rFonts w:ascii="Assistant" w:hAnsi="Assistant" w:cs="Assistant"/>
          <w:b w:val="0"/>
          <w:sz w:val="23"/>
          <w:rtl w:val="1"/>
          <w:szCs w:val="23"/>
        </w:rPr>
        <w:t>הגירה היא מעבר של אנשים ממקום מגורים אחד לאחר לתקופה ארוכה. המקום שעוזבים הוא אזור המוצא, והמקום שמגיעים אליו הוא אזור היעד. אנשים היגרו מאז ומעולם: בתנ״ך מסופר על אברהם שיצא לארץ חדשה ועל יעקב ובניו שירדו למצרים בגלל רעב.</w:t>
      </w:r>
    </w:p>
    <w:p>
      <w:pPr>
        <w:bidi w:val="1"/>
        <w:spacing w:after="120"/>
        <w:jc w:val="right"/>
      </w:pPr>
      <w:r>
        <w:rPr>
          <w:rFonts w:ascii="Assistant" w:hAnsi="Assistant" w:cs="Assistant"/>
          <w:b w:val="0"/>
          <w:sz w:val="23"/>
          <w:rtl w:val="1"/>
          <w:szCs w:val="23"/>
        </w:rPr>
        <w:t>גורמי דחיפה הם קשיים באזור המוצא: אבטלה, עוני, בצורת, רעידת אדמה או חוסר ביטחון. גורמי משיכה הם יתרונות באזור היעד: עבודה ושכר, לימודים, שירותי בריאות, ביטחון אישי או קרבה למשפחה. ממיינים אותם לתחומים: כלכליים, חברתיים-תרבותיים, תנאי טבע ואסונות, וגורמים שלטוניים.</w:t>
      </w:r>
    </w:p>
    <w:p>
      <w:pPr>
        <w:bidi w:val="1"/>
        <w:spacing w:after="120"/>
        <w:jc w:val="right"/>
      </w:pPr>
      <w:r>
        <w:rPr>
          <w:rFonts w:ascii="Assistant" w:hAnsi="Assistant" w:cs="Assistant"/>
          <w:b w:val="0"/>
          <w:sz w:val="23"/>
          <w:rtl w:val="1"/>
          <w:szCs w:val="23"/>
        </w:rPr>
        <w:t>מסווגים הגירה בכמה דרכים: פנימית – בתוך המדינה, או בין-לאומית – ממדינה למדינה; מרצון – מבחירה, או כפויה – כשאין ברירה, למשל אחרי אסון טבע; קבע – לתמיד, או זמנית – לחודשים או לשנים, כמו סטודנטים ועובדים זרים. מנקודת המבט של מדינה, מי שנכנס הוא חלק מההגירה הנכנסת ומי שיוצא – מההגירה היוצאת. ההפרש ביניהם הוא מאזן ההגירה: 500 נכנסו ו-200 יצאו – מאזן חיובי של ‎+300.</w:t>
      </w:r>
    </w:p>
    <w:p>
      <w:pPr>
        <w:bidi w:val="1"/>
        <w:spacing w:after="120"/>
        <w:jc w:val="right"/>
      </w:pPr>
      <w:r>
        <w:rPr>
          <w:rFonts w:ascii="Assistant" w:hAnsi="Assistant" w:cs="Assistant"/>
          <w:b w:val="0"/>
          <w:sz w:val="23"/>
          <w:rtl w:val="1"/>
          <w:szCs w:val="23"/>
        </w:rPr>
        <w:t>בעשורים האחרונים ההגירה גדלה. טיסות זולות, טלפונים חכמים ורשתות חברתיות מאפשרים לדעת מה קורה במקום רחוק ולשמור על קשר, והגלובליזציה יוצרת מקומות עבודה בכל העולם. בשנת 2024 חיו מחוץ לארץ הולדתם כ-304 מיליון בני אדם, כ-3.7% מאוכלוסיית העולם.</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הגירה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המקום שממנו יוצאים המהגרים.</w:t>
            </w:r>
          </w:p>
        </w:tc>
      </w:tr>
      <w:tr>
        <w:tc>
          <w:tcPr>
            <w:tcW w:type="dxa" w:w="2268"/>
          </w:tcPr>
          <w:p>
            <w:pPr>
              <w:bidi w:val="1"/>
              <w:jc w:val="right"/>
            </w:pPr>
            <w:r/>
            <w:r>
              <w:rPr>
                <w:rFonts w:ascii="Assistant" w:hAnsi="Assistant" w:cs="Assistant"/>
                <w:b w:val="0"/>
                <w:sz w:val="21"/>
                <w:rtl w:val="1"/>
                <w:szCs w:val="21"/>
              </w:rPr>
              <w:t>2. אזור מוצא</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יתרונות באזור היעד שמושכים אליו אנשים, כמו עבודה, לימודים, ביטחון וקרבה למשפחה.</w:t>
            </w:r>
          </w:p>
        </w:tc>
      </w:tr>
      <w:tr>
        <w:tc>
          <w:tcPr>
            <w:tcW w:type="dxa" w:w="2268"/>
          </w:tcPr>
          <w:p>
            <w:pPr>
              <w:bidi w:val="1"/>
              <w:jc w:val="right"/>
            </w:pPr>
            <w:r/>
            <w:r>
              <w:rPr>
                <w:rFonts w:ascii="Assistant" w:hAnsi="Assistant" w:cs="Assistant"/>
                <w:b w:val="0"/>
                <w:sz w:val="21"/>
                <w:rtl w:val="1"/>
                <w:szCs w:val="21"/>
              </w:rPr>
              <w:t>3. אזור יעד</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תנאים קשים באזור המוצא שדוחפים אנשים לעזוב, כמו אבטלה, עוני, בצורת או חוסר ביטחון.</w:t>
            </w:r>
          </w:p>
        </w:tc>
      </w:tr>
      <w:tr>
        <w:tc>
          <w:tcPr>
            <w:tcW w:type="dxa" w:w="2268"/>
          </w:tcPr>
          <w:p>
            <w:pPr>
              <w:bidi w:val="1"/>
              <w:jc w:val="right"/>
            </w:pPr>
            <w:r/>
            <w:r>
              <w:rPr>
                <w:rFonts w:ascii="Assistant" w:hAnsi="Assistant" w:cs="Assistant"/>
                <w:b w:val="0"/>
                <w:sz w:val="21"/>
                <w:rtl w:val="1"/>
                <w:szCs w:val="21"/>
              </w:rPr>
              <w:t>4. גורמי דחיפה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מעבר של אנשים ממקום מגורים אחד למקום אחר לתקופה ארוכה.</w:t>
            </w:r>
          </w:p>
        </w:tc>
      </w:tr>
      <w:tr>
        <w:tc>
          <w:tcPr>
            <w:tcW w:type="dxa" w:w="2268"/>
          </w:tcPr>
          <w:p>
            <w:pPr>
              <w:bidi w:val="1"/>
              <w:jc w:val="right"/>
            </w:pPr>
            <w:r/>
            <w:r>
              <w:rPr>
                <w:rFonts w:ascii="Assistant" w:hAnsi="Assistant" w:cs="Assistant"/>
                <w:b w:val="0"/>
                <w:sz w:val="21"/>
                <w:rtl w:val="1"/>
                <w:szCs w:val="21"/>
              </w:rPr>
              <w:t>5. גורמי משיכה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המקום שאליו מגיעים המהגרים כדי לגור בו.</w:t>
            </w:r>
          </w:p>
        </w:tc>
      </w:tr>
      <w:tr>
        <w:tc>
          <w:tcPr>
            <w:tcW w:type="dxa" w:w="2268"/>
          </w:tcPr>
          <w:p>
            <w:pPr>
              <w:bidi w:val="1"/>
              <w:jc w:val="right"/>
            </w:pPr>
            <w:r/>
            <w:r>
              <w:rPr>
                <w:rFonts w:ascii="Assistant" w:hAnsi="Assistant" w:cs="Assistant"/>
                <w:b w:val="0"/>
                <w:sz w:val="21"/>
                <w:rtl w:val="1"/>
                <w:szCs w:val="21"/>
              </w:rPr>
              <w:t>6. הגירה פנימית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מעבר של אנשים ממקום למקום בתוך אותה מדינה.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הגירה כפויה   ·   מאזן הגירה   ·   גורמי משיכה   ·   הגירה פנימית</w:t>
      </w:r>
    </w:p>
    <w:p>
      <w:pPr>
        <w:bidi w:val="1"/>
        <w:spacing w:after="80"/>
        <w:jc w:val="right"/>
      </w:pPr>
      <w:r>
        <w:rPr>
          <w:rFonts w:ascii="Assistant" w:hAnsi="Assistant" w:cs="Assistant"/>
          <w:b w:val="0"/>
          <w:sz w:val="23"/>
          <w:rtl w:val="1"/>
          <w:szCs w:val="23"/>
        </w:rPr>
        <w:t>1. 500 הגיעו ו-200 עזבו = ‎+300. – זו דוגמה ל־______________</w:t>
      </w:r>
    </w:p>
    <w:p>
      <w:pPr>
        <w:bidi w:val="1"/>
        <w:spacing w:after="80"/>
        <w:jc w:val="right"/>
      </w:pPr>
      <w:r>
        <w:rPr>
          <w:rFonts w:ascii="Assistant" w:hAnsi="Assistant" w:cs="Assistant"/>
          <w:b w:val="0"/>
          <w:sz w:val="23"/>
          <w:rtl w:val="1"/>
          <w:szCs w:val="23"/>
        </w:rPr>
        <w:t>2. משפחות שעזבו אחרי שיטפון גדול. – זו דוגמה ל־______________</w:t>
      </w:r>
    </w:p>
    <w:p>
      <w:pPr>
        <w:bidi w:val="1"/>
        <w:spacing w:after="80"/>
        <w:jc w:val="right"/>
      </w:pPr>
      <w:r>
        <w:rPr>
          <w:rFonts w:ascii="Assistant" w:hAnsi="Assistant" w:cs="Assistant"/>
          <w:b w:val="0"/>
          <w:sz w:val="23"/>
          <w:rtl w:val="1"/>
          <w:szCs w:val="23"/>
        </w:rPr>
        <w:t>3. מעבר מבאר שבע לחיפה. – זו דוגמה ל־______________</w:t>
      </w:r>
    </w:p>
    <w:p>
      <w:pPr>
        <w:bidi w:val="1"/>
        <w:spacing w:after="80"/>
        <w:jc w:val="right"/>
      </w:pPr>
      <w:r>
        <w:rPr>
          <w:rFonts w:ascii="Assistant" w:hAnsi="Assistant" w:cs="Assistant"/>
          <w:b w:val="0"/>
          <w:sz w:val="23"/>
          <w:rtl w:val="1"/>
          <w:szCs w:val="23"/>
        </w:rPr>
        <w:t>4. עבודה עם שכר גבוה בעיר.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לאיזה תחום שייך הגורם ״שכר גבוה יותר באזור היעד״?</w:t>
      </w:r>
    </w:p>
    <w:p>
      <w:pPr>
        <w:bidi w:val="1"/>
        <w:spacing w:after="20"/>
        <w:jc w:val="right"/>
      </w:pPr>
      <w:r>
        <w:rPr>
          <w:rFonts w:ascii="Assistant" w:hAnsi="Assistant" w:cs="Assistant"/>
          <w:b w:val="0"/>
          <w:sz w:val="23"/>
          <w:rtl w:val="1"/>
          <w:szCs w:val="23"/>
        </w:rPr>
        <w:t xml:space="preserve">     ◯ א. תנאי טבע</w:t>
      </w:r>
    </w:p>
    <w:p>
      <w:pPr>
        <w:bidi w:val="1"/>
        <w:spacing w:after="20"/>
        <w:jc w:val="right"/>
      </w:pPr>
      <w:r>
        <w:rPr>
          <w:rFonts w:ascii="Assistant" w:hAnsi="Assistant" w:cs="Assistant"/>
          <w:b w:val="0"/>
          <w:sz w:val="23"/>
          <w:rtl w:val="1"/>
          <w:szCs w:val="23"/>
        </w:rPr>
        <w:t xml:space="preserve">     ◯ ב. שלטוני</w:t>
      </w:r>
    </w:p>
    <w:p>
      <w:pPr>
        <w:bidi w:val="1"/>
        <w:spacing w:after="20"/>
        <w:jc w:val="right"/>
      </w:pPr>
      <w:r>
        <w:rPr>
          <w:rFonts w:ascii="Assistant" w:hAnsi="Assistant" w:cs="Assistant"/>
          <w:b w:val="0"/>
          <w:sz w:val="23"/>
          <w:rtl w:val="1"/>
          <w:szCs w:val="23"/>
        </w:rPr>
        <w:t xml:space="preserve">     ◯ ג. כלכלי</w:t>
      </w:r>
    </w:p>
    <w:p>
      <w:pPr>
        <w:bidi w:val="1"/>
        <w:spacing w:after="20"/>
        <w:jc w:val="right"/>
      </w:pPr>
      <w:r>
        <w:rPr>
          <w:rFonts w:ascii="Assistant" w:hAnsi="Assistant" w:cs="Assistant"/>
          <w:b w:val="0"/>
          <w:sz w:val="23"/>
          <w:rtl w:val="1"/>
          <w:szCs w:val="23"/>
        </w:rPr>
        <w:t xml:space="preserve">     ◯ ד. תרבותי</w:t>
      </w:r>
    </w:p>
    <w:p>
      <w:pPr>
        <w:bidi w:val="1"/>
        <w:spacing w:after="20"/>
        <w:jc w:val="right"/>
      </w:pPr>
      <w:r>
        <w:rPr>
          <w:rFonts w:ascii="Assistant" w:hAnsi="Assistant" w:cs="Assistant"/>
          <w:b/>
          <w:sz w:val="23"/>
          <w:rtl w:val="1"/>
          <w:bCs/>
          <w:szCs w:val="23"/>
        </w:rPr>
        <w:t>2. סטודנטית שנוסעת ללמוד שלוש שנים בחו״ל ותחזור – איזו הגירה זו?</w:t>
      </w:r>
    </w:p>
    <w:p>
      <w:pPr>
        <w:bidi w:val="1"/>
        <w:spacing w:after="20"/>
        <w:jc w:val="right"/>
      </w:pPr>
      <w:r>
        <w:rPr>
          <w:rFonts w:ascii="Assistant" w:hAnsi="Assistant" w:cs="Assistant"/>
          <w:b w:val="0"/>
          <w:sz w:val="23"/>
          <w:rtl w:val="1"/>
          <w:szCs w:val="23"/>
        </w:rPr>
        <w:t xml:space="preserve">     ◯ א. זמנית ומרצון</w:t>
      </w:r>
    </w:p>
    <w:p>
      <w:pPr>
        <w:bidi w:val="1"/>
        <w:spacing w:after="20"/>
        <w:jc w:val="right"/>
      </w:pPr>
      <w:r>
        <w:rPr>
          <w:rFonts w:ascii="Assistant" w:hAnsi="Assistant" w:cs="Assistant"/>
          <w:b w:val="0"/>
          <w:sz w:val="23"/>
          <w:rtl w:val="1"/>
          <w:szCs w:val="23"/>
        </w:rPr>
        <w:t xml:space="preserve">     ◯ ב. קבע וכפויה</w:t>
      </w:r>
    </w:p>
    <w:p>
      <w:pPr>
        <w:bidi w:val="1"/>
        <w:spacing w:after="20"/>
        <w:jc w:val="right"/>
      </w:pPr>
      <w:r>
        <w:rPr>
          <w:rFonts w:ascii="Assistant" w:hAnsi="Assistant" w:cs="Assistant"/>
          <w:b w:val="0"/>
          <w:sz w:val="23"/>
          <w:rtl w:val="1"/>
          <w:szCs w:val="23"/>
        </w:rPr>
        <w:t xml:space="preserve">     ◯ ג. פנימית וכפויה</w:t>
      </w:r>
    </w:p>
    <w:p>
      <w:pPr>
        <w:bidi w:val="1"/>
        <w:spacing w:after="20"/>
        <w:jc w:val="right"/>
      </w:pPr>
      <w:r>
        <w:rPr>
          <w:rFonts w:ascii="Assistant" w:hAnsi="Assistant" w:cs="Assistant"/>
          <w:b w:val="0"/>
          <w:sz w:val="23"/>
          <w:rtl w:val="1"/>
          <w:szCs w:val="23"/>
        </w:rPr>
        <w:t xml:space="preserve">     ◯ ד. קבע ופנימית</w:t>
      </w:r>
    </w:p>
    <w:p>
      <w:pPr>
        <w:bidi w:val="1"/>
        <w:spacing w:after="20"/>
        <w:jc w:val="right"/>
      </w:pPr>
      <w:r>
        <w:rPr>
          <w:rFonts w:ascii="Assistant" w:hAnsi="Assistant" w:cs="Assistant"/>
          <w:b/>
          <w:sz w:val="23"/>
          <w:rtl w:val="1"/>
          <w:bCs/>
          <w:szCs w:val="23"/>
        </w:rPr>
        <w:t>3. למדינה נכנסו 8,000 אנשים ויצאו ממנה 11,000. מהו מאזן ההגירה?</w:t>
      </w:r>
    </w:p>
    <w:p>
      <w:pPr>
        <w:bidi w:val="1"/>
        <w:spacing w:after="20"/>
        <w:jc w:val="right"/>
      </w:pPr>
      <w:r>
        <w:rPr>
          <w:rFonts w:ascii="Assistant" w:hAnsi="Assistant" w:cs="Assistant"/>
          <w:b w:val="0"/>
          <w:sz w:val="23"/>
          <w:rtl w:val="1"/>
          <w:szCs w:val="23"/>
        </w:rPr>
        <w:t xml:space="preserve">     ◯ א. ‎+3,000</w:t>
      </w:r>
    </w:p>
    <w:p>
      <w:pPr>
        <w:bidi w:val="1"/>
        <w:spacing w:after="20"/>
        <w:jc w:val="right"/>
      </w:pPr>
      <w:r>
        <w:rPr>
          <w:rFonts w:ascii="Assistant" w:hAnsi="Assistant" w:cs="Assistant"/>
          <w:b w:val="0"/>
          <w:sz w:val="23"/>
          <w:rtl w:val="1"/>
          <w:szCs w:val="23"/>
        </w:rPr>
        <w:t xml:space="preserve">     ◯ ב. ‎+19,000</w:t>
      </w:r>
    </w:p>
    <w:p>
      <w:pPr>
        <w:bidi w:val="1"/>
        <w:spacing w:after="20"/>
        <w:jc w:val="right"/>
      </w:pPr>
      <w:r>
        <w:rPr>
          <w:rFonts w:ascii="Assistant" w:hAnsi="Assistant" w:cs="Assistant"/>
          <w:b w:val="0"/>
          <w:sz w:val="23"/>
          <w:rtl w:val="1"/>
          <w:szCs w:val="23"/>
        </w:rPr>
        <w:t xml:space="preserve">     ◯ ג. 0</w:t>
      </w:r>
    </w:p>
    <w:p>
      <w:pPr>
        <w:bidi w:val="1"/>
        <w:spacing w:after="20"/>
        <w:jc w:val="right"/>
      </w:pPr>
      <w:r>
        <w:rPr>
          <w:rFonts w:ascii="Assistant" w:hAnsi="Assistant" w:cs="Assistant"/>
          <w:b w:val="0"/>
          <w:sz w:val="23"/>
          <w:rtl w:val="1"/>
          <w:szCs w:val="23"/>
        </w:rPr>
        <w:t xml:space="preserve">     ◯ ד. ‎−3,000</w:t>
      </w:r>
    </w:p>
    <w:p>
      <w:pPr>
        <w:bidi w:val="1"/>
        <w:spacing w:after="20"/>
        <w:jc w:val="right"/>
      </w:pPr>
      <w:r>
        <w:rPr>
          <w:rFonts w:ascii="Assistant" w:hAnsi="Assistant" w:cs="Assistant"/>
          <w:b/>
          <w:sz w:val="23"/>
          <w:rtl w:val="1"/>
          <w:bCs/>
          <w:szCs w:val="23"/>
        </w:rPr>
        <w:t>4. איזו דוגמה מתארת הגירה כפויה?</w:t>
      </w:r>
    </w:p>
    <w:p>
      <w:pPr>
        <w:bidi w:val="1"/>
        <w:spacing w:after="20"/>
        <w:jc w:val="right"/>
      </w:pPr>
      <w:r>
        <w:rPr>
          <w:rFonts w:ascii="Assistant" w:hAnsi="Assistant" w:cs="Assistant"/>
          <w:b w:val="0"/>
          <w:sz w:val="23"/>
          <w:rtl w:val="1"/>
          <w:szCs w:val="23"/>
        </w:rPr>
        <w:t xml:space="preserve">     ◯ א. מעבר לעיר בגלל עבודה חדשה</w:t>
      </w:r>
    </w:p>
    <w:p>
      <w:pPr>
        <w:bidi w:val="1"/>
        <w:spacing w:after="20"/>
        <w:jc w:val="right"/>
      </w:pPr>
      <w:r>
        <w:rPr>
          <w:rFonts w:ascii="Assistant" w:hAnsi="Assistant" w:cs="Assistant"/>
          <w:b w:val="0"/>
          <w:sz w:val="23"/>
          <w:rtl w:val="1"/>
          <w:szCs w:val="23"/>
        </w:rPr>
        <w:t xml:space="preserve">     ◯ ב. משפחות שעזבו את ביתן אחרי שיטפון</w:t>
      </w:r>
    </w:p>
    <w:p>
      <w:pPr>
        <w:bidi w:val="1"/>
        <w:spacing w:after="20"/>
        <w:jc w:val="right"/>
      </w:pPr>
      <w:r>
        <w:rPr>
          <w:rFonts w:ascii="Assistant" w:hAnsi="Assistant" w:cs="Assistant"/>
          <w:b w:val="0"/>
          <w:sz w:val="23"/>
          <w:rtl w:val="1"/>
          <w:szCs w:val="23"/>
        </w:rPr>
        <w:t xml:space="preserve">     ◯ ג. נסיעה ללימודים</w:t>
      </w:r>
    </w:p>
    <w:p>
      <w:pPr>
        <w:bidi w:val="1"/>
        <w:spacing w:after="20"/>
        <w:jc w:val="right"/>
      </w:pPr>
      <w:r>
        <w:rPr>
          <w:rFonts w:ascii="Assistant" w:hAnsi="Assistant" w:cs="Assistant"/>
          <w:b w:val="0"/>
          <w:sz w:val="23"/>
          <w:rtl w:val="1"/>
          <w:szCs w:val="23"/>
        </w:rPr>
        <w:t xml:space="preserve">     ◯ ד. מעבר לגור ליד הסבים</w:t>
      </w:r>
    </w:p>
    <w:p>
      <w:pPr>
        <w:bidi w:val="1"/>
        <w:spacing w:after="20"/>
        <w:jc w:val="right"/>
      </w:pPr>
      <w:r>
        <w:rPr>
          <w:rFonts w:ascii="Assistant" w:hAnsi="Assistant" w:cs="Assistant"/>
          <w:b/>
          <w:sz w:val="23"/>
          <w:rtl w:val="1"/>
          <w:bCs/>
          <w:szCs w:val="23"/>
        </w:rPr>
        <w:t>5. מדוע ההגירה גדלה בעשורים האחרונים?</w:t>
      </w:r>
    </w:p>
    <w:p>
      <w:pPr>
        <w:bidi w:val="1"/>
        <w:spacing w:after="20"/>
        <w:jc w:val="right"/>
      </w:pPr>
      <w:r>
        <w:rPr>
          <w:rFonts w:ascii="Assistant" w:hAnsi="Assistant" w:cs="Assistant"/>
          <w:b w:val="0"/>
          <w:sz w:val="23"/>
          <w:rtl w:val="1"/>
          <w:szCs w:val="23"/>
        </w:rPr>
        <w:t xml:space="preserve">     ◯ א. כי אין יותר גבולות</w:t>
      </w:r>
    </w:p>
    <w:p>
      <w:pPr>
        <w:bidi w:val="1"/>
        <w:spacing w:after="20"/>
        <w:jc w:val="right"/>
      </w:pPr>
      <w:r>
        <w:rPr>
          <w:rFonts w:ascii="Assistant" w:hAnsi="Assistant" w:cs="Assistant"/>
          <w:b w:val="0"/>
          <w:sz w:val="23"/>
          <w:rtl w:val="1"/>
          <w:szCs w:val="23"/>
        </w:rPr>
        <w:t xml:space="preserve">     ◯ ב. כי כל המדינות זהות</w:t>
      </w:r>
    </w:p>
    <w:p>
      <w:pPr>
        <w:bidi w:val="1"/>
        <w:spacing w:after="20"/>
        <w:jc w:val="right"/>
      </w:pPr>
      <w:r>
        <w:rPr>
          <w:rFonts w:ascii="Assistant" w:hAnsi="Assistant" w:cs="Assistant"/>
          <w:b w:val="0"/>
          <w:sz w:val="23"/>
          <w:rtl w:val="1"/>
          <w:szCs w:val="23"/>
        </w:rPr>
        <w:t xml:space="preserve">     ◯ ג. כי טיסות, תקשורת וגלובליזציה מקלות על המעבר</w:t>
      </w:r>
    </w:p>
    <w:p>
      <w:pPr>
        <w:bidi w:val="1"/>
        <w:spacing w:after="20"/>
        <w:jc w:val="right"/>
      </w:pPr>
      <w:r>
        <w:rPr>
          <w:rFonts w:ascii="Assistant" w:hAnsi="Assistant" w:cs="Assistant"/>
          <w:b w:val="0"/>
          <w:sz w:val="23"/>
          <w:rtl w:val="1"/>
          <w:szCs w:val="23"/>
        </w:rPr>
        <w:t xml:space="preserve">     ◯ ד. כי אנשים לא אוהבים את ביתם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גורמי דחיפה נמצאים באזור היעד.</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מעבר מבאר שבע לתל אביב הוא הגירה פנימית.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מאזן הגירה חיובי פירושו שנכנסו יותר אנשים משיצאו.</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כמחצית מאוכלוסיית העולם חיה מחוץ לארץ הולדתה.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מיינו לגורמי דחיפה ולגורמי משיכה: בצורת, אוניברסיטה טובה, אבטלה, קרבה למשפחה, רעידת אדמה, שירותי בריאות.</w:t>
      </w:r>
    </w:p>
    <w:p>
      <w:pPr>
        <w:bidi w:val="1"/>
        <w:spacing w:after="20"/>
        <w:jc w:val="right"/>
      </w:pPr>
      <w:r>
        <w:rPr>
          <w:rFonts w:ascii="Assistant" w:hAnsi="Assistant" w:cs="Assistant"/>
          <w:b w:val="0"/>
          <w:color w:val="666666"/>
          <w:sz w:val="21"/>
          <w:rtl w:val="1"/>
          <w:szCs w:val="21"/>
        </w:rPr>
        <w:t>✏️ התחילו כך: דחיפה: ... משיכה: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חשבו את מאזן ההגירה: נכנסו 1,200 ויצאו 450. האם המאזן חיובי או שלילי? מה המשמעות?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הסבירו כיצד טלפון חכם יכול להשפיע על ההחלטה להגר.</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הגירה: גורמים וסוגים     שם: __________</w:t>
      </w:r>
    </w:p>
    <w:p>
      <w:pPr>
        <w:bidi w:val="1"/>
        <w:spacing w:after="20"/>
        <w:jc w:val="right"/>
      </w:pPr>
      <w:r>
        <w:rPr>
          <w:rFonts w:ascii="Assistant" w:hAnsi="Assistant" w:cs="Assistant"/>
          <w:b w:val="0"/>
          <w:sz w:val="23"/>
          <w:rtl w:val="1"/>
          <w:szCs w:val="23"/>
        </w:rPr>
        <w:t>1. הבחינו בין גורם דחיפה לגורם משיכה בדוגמה.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תנו דוגמה להגירה זמנית.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מהו מאזן הגירה שלילי?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הגירה: גורמים וסוגים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